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50" w:lineRule="atLeast"/>
        <w:ind w:left="0" w:right="0"/>
        <w:jc w:val="center"/>
        <w:rPr>
          <w:rFonts w:ascii="黑体" w:hAnsi="宋体" w:eastAsia="黑体" w:cs="黑体"/>
          <w:b w:val="0"/>
          <w:bCs w:val="0"/>
          <w:color w:val="auto"/>
          <w:sz w:val="30"/>
          <w:szCs w:val="30"/>
        </w:rPr>
      </w:pPr>
      <w:r>
        <w:rPr>
          <w:rFonts w:hint="eastAsia" w:ascii="黑体" w:hAnsi="宋体" w:eastAsia="黑体" w:cs="黑体"/>
          <w:b w:val="0"/>
          <w:bCs w:val="0"/>
          <w:color w:val="auto"/>
          <w:sz w:val="30"/>
          <w:szCs w:val="30"/>
          <w:bdr w:val="none" w:color="auto" w:sz="0" w:space="0"/>
        </w:rPr>
        <w:t>江西省2022年普通高校专升本录取控制分数线</w:t>
      </w:r>
    </w:p>
    <w:tbl>
      <w:tblPr>
        <w:tblStyle w:val="3"/>
        <w:tblpPr w:leftFromText="180" w:rightFromText="180" w:vertAnchor="text" w:horzAnchor="page" w:tblpX="1018" w:tblpY="569"/>
        <w:tblOverlap w:val="never"/>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09"/>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sz w:val="36"/>
                <w:szCs w:val="36"/>
              </w:rPr>
            </w:pPr>
            <w:r>
              <w:rPr>
                <w:rFonts w:ascii="Arial" w:hAnsi="Arial" w:eastAsia="黑体" w:cs="Arial"/>
                <w:kern w:val="0"/>
                <w:sz w:val="27"/>
                <w:szCs w:val="27"/>
                <w:lang w:val="en-US" w:eastAsia="zh-CN" w:bidi="ar"/>
              </w:rPr>
              <w:t>类  别</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sz w:val="36"/>
                <w:szCs w:val="36"/>
              </w:rPr>
            </w:pPr>
            <w:r>
              <w:rPr>
                <w:rFonts w:hint="default" w:ascii="Arial" w:hAnsi="Arial" w:eastAsia="黑体" w:cs="Arial"/>
                <w:kern w:val="0"/>
                <w:sz w:val="27"/>
                <w:szCs w:val="27"/>
                <w:lang w:val="en-US" w:eastAsia="zh-CN" w:bidi="ar"/>
              </w:rPr>
              <w:t>分数线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ascii="仿宋_GB2312" w:eastAsia="仿宋_GB2312" w:cs="仿宋_GB2312"/>
                <w:sz w:val="36"/>
                <w:szCs w:val="36"/>
              </w:rPr>
            </w:pPr>
            <w:r>
              <w:rPr>
                <w:rFonts w:hint="default" w:ascii="Arial" w:hAnsi="Arial" w:eastAsia="仿宋_GB2312" w:cs="Arial"/>
                <w:kern w:val="0"/>
                <w:sz w:val="27"/>
                <w:szCs w:val="27"/>
                <w:lang w:val="en-US" w:eastAsia="zh-CN" w:bidi="ar"/>
              </w:rPr>
              <w:t>1文史类（哲学、文学、历史学、新闻传播大类）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2经济学类（经济学、财经商贸大类）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3法学类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4教育学类（教育学、教育与体育大类）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6"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5理工类（理学、工学、资源环境与安全大类、</w:t>
            </w:r>
            <w:r>
              <w:rPr>
                <w:rFonts w:hint="default" w:ascii="Arial" w:hAnsi="Arial" w:eastAsia="仿宋_GB2312" w:cs="Arial"/>
                <w:kern w:val="0"/>
                <w:sz w:val="27"/>
                <w:szCs w:val="27"/>
                <w:lang w:val="en-US" w:eastAsia="zh-CN" w:bidi="ar"/>
              </w:rPr>
              <w:br w:type="textWrapping"/>
            </w:r>
            <w:r>
              <w:rPr>
                <w:rFonts w:hint="default" w:ascii="Arial" w:hAnsi="Arial" w:eastAsia="仿宋_GB2312" w:cs="Arial"/>
                <w:kern w:val="0"/>
                <w:sz w:val="27"/>
                <w:szCs w:val="27"/>
                <w:lang w:val="en-US" w:eastAsia="zh-CN" w:bidi="ar"/>
              </w:rPr>
              <w:t>装备制造大类、电子与信息大类）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6农学药学类[农学、医学（仅药学、中药学类）]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7医学类[医学（除药学类及中药学类之外的其他类）]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8管理学类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9艺术类（艺术学、文化艺术大类）</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仿宋_GB2312"/>
                <w:sz w:val="36"/>
                <w:szCs w:val="36"/>
              </w:rPr>
            </w:pPr>
            <w:r>
              <w:rPr>
                <w:rFonts w:hint="default" w:ascii="Arial" w:hAnsi="Arial" w:eastAsia="仿宋_GB2312" w:cs="Arial"/>
                <w:kern w:val="0"/>
                <w:sz w:val="27"/>
                <w:szCs w:val="27"/>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1" w:hRule="atLeast"/>
        </w:trPr>
        <w:tc>
          <w:tcPr>
            <w:tcW w:w="10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b/>
                <w:bCs/>
                <w:sz w:val="32"/>
                <w:szCs w:val="32"/>
              </w:rPr>
            </w:pPr>
            <w:r>
              <w:rPr>
                <w:rFonts w:hint="default" w:ascii="Arial" w:hAnsi="Arial" w:eastAsia="仿宋_GB2312" w:cs="Arial"/>
                <w:b/>
                <w:bCs/>
                <w:i w:val="0"/>
                <w:iCs w:val="0"/>
                <w:color w:val="000000"/>
                <w:kern w:val="0"/>
                <w:sz w:val="32"/>
                <w:szCs w:val="32"/>
                <w:u w:val="none"/>
                <w:lang w:val="en-US" w:eastAsia="zh-CN" w:bidi="ar"/>
              </w:rPr>
              <w:t>注明</w:t>
            </w:r>
            <w:r>
              <w:rPr>
                <w:rFonts w:hint="default" w:ascii="Arial" w:hAnsi="Arial" w:eastAsia="仿宋_GB2312" w:cs="Arial"/>
                <w:i w:val="0"/>
                <w:iCs w:val="0"/>
                <w:color w:val="000000"/>
                <w:kern w:val="0"/>
                <w:sz w:val="32"/>
                <w:szCs w:val="32"/>
                <w:u w:val="none"/>
                <w:lang w:val="en-US" w:eastAsia="zh-CN" w:bidi="ar"/>
              </w:rPr>
              <w:t>：各批次录取中原填志愿录取均不得低于对应各考试大类录取控制分数线。征集志愿录取时，各考试大类录取控制分数线上投档不满额的高校（专业），可在录取控制分数线下20分以内，对填报该高校（专业）征集志愿的考生，逐分下降投档，直至满额为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0" w:afterAutospacing="0" w:line="360" w:lineRule="atLeast"/>
        <w:ind w:left="0" w:right="0" w:firstLine="0"/>
        <w:rPr>
          <w:rFonts w:hint="eastAsia" w:ascii="宋体" w:hAnsi="宋体" w:eastAsia="宋体" w:cs="宋体"/>
          <w:color w:val="000000"/>
          <w:sz w:val="21"/>
          <w:szCs w:val="21"/>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Y2ZhNjFmOGJlNGYyZDkyNmE1MTRkYzNhOTQxMGUifQ=="/>
  </w:docVars>
  <w:rsids>
    <w:rsidRoot w:val="5509365F"/>
    <w:rsid w:val="42D357A6"/>
    <w:rsid w:val="5509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337</Characters>
  <Lines>0</Lines>
  <Paragraphs>0</Paragraphs>
  <TotalTime>2</TotalTime>
  <ScaleCrop>false</ScaleCrop>
  <LinksUpToDate>false</LinksUpToDate>
  <CharactersWithSpaces>339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2022-07-31T13:09:00Z</dcterms:created>
  <dc:creator>Action</dc:creator>
  <cp:lastModifiedBy>Action</cp:lastModifiedBy>
  <dcterms:modified xsi:type="dcterms:W3CDTF">2022-07-31T13:11:17Z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548847ECE0DA466B8A31FEC15A9990C8</vt:lpwstr>
  </property>
</Properties>
</file>